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86MS0079-01-2024-007536-68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05-0963/2615/2024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Кыбукевича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АНО «АРТСТУДИЯ ГОРДЫ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Кыбукевич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применяем у</w:t>
      </w:r>
      <w:r>
        <w:rPr>
          <w:rFonts w:ascii="Times New Roman" w:eastAsia="Times New Roman" w:hAnsi="Times New Roman" w:cs="Times New Roman"/>
          <w:sz w:val="26"/>
          <w:szCs w:val="26"/>
        </w:rPr>
        <w:t>прощенной сист</w:t>
      </w:r>
      <w:r>
        <w:rPr>
          <w:rFonts w:ascii="Times New Roman" w:eastAsia="Times New Roman" w:hAnsi="Times New Roman" w:cs="Times New Roman"/>
          <w:sz w:val="26"/>
          <w:szCs w:val="26"/>
        </w:rPr>
        <w:t>еме налогообложения за 2023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РФ, п. 1 ст. 346.23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Кыбукевич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346.23 НК РФ По итогам </w:t>
      </w:r>
      <w:hyperlink r:id="rId4" w:anchor="dst10368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anchor="dst100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Кыбукевича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Кыбукевича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Кыбукевича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Кыбукевича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37">
    <w:name w:val="cat-UserDefined grp-4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s://www.consultant.ru/document/cons_doc_LAW_454134/051edffc72ec0bb6fb9c14a883b2ec4de75cfe8c/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